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82" w:rsidRDefault="00F7603F">
      <w:pPr>
        <w:spacing w:after="0" w:line="256" w:lineRule="auto"/>
        <w:ind w:left="5670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2F7082" w:rsidRDefault="00F7603F">
      <w:pPr>
        <w:spacing w:after="0" w:line="256" w:lineRule="auto"/>
        <w:ind w:left="5670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</w:p>
    <w:p w:rsidR="002F7082" w:rsidRPr="003859B2" w:rsidRDefault="00F76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86"/>
        <w:jc w:val="both"/>
        <w:rPr>
          <w:rFonts w:ascii="Times New Roman" w:eastAsia="Times New Roman" w:hAnsi="Times New Roman" w:cs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№ </w:t>
      </w:r>
      <w:r w:rsidR="003859B2">
        <w:rPr>
          <w:rFonts w:ascii="Times New Roman" w:hAnsi="Times New Roman"/>
          <w:sz w:val="28"/>
          <w:szCs w:val="28"/>
          <w:lang w:val="uk-UA"/>
          <w14:textOutline w14:w="0" w14:cap="flat" w14:cmpd="sng" w14:algn="ctr">
            <w14:noFill/>
            <w14:prstDash w14:val="solid"/>
            <w14:bevel/>
          </w14:textOutline>
        </w:rPr>
        <w:t>351/0/6-22</w:t>
      </w:r>
    </w:p>
    <w:p w:rsidR="002F7082" w:rsidRPr="003859B2" w:rsidRDefault="00385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386"/>
        <w:jc w:val="both"/>
        <w:rPr>
          <w:rFonts w:ascii="Times New Roman" w:eastAsia="Times New Roman" w:hAnsi="Times New Roman" w:cs="Times New Roman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19.07.2022 </w:t>
      </w:r>
      <w:bookmarkStart w:id="0" w:name="_GoBack"/>
      <w:bookmarkEnd w:id="0"/>
      <w:r w:rsidR="00F7603F" w:rsidRPr="003859B2"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="00F7603F" w:rsidRPr="003859B2"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F7082" w:rsidRPr="003859B2" w:rsidRDefault="002F7082">
      <w:pPr>
        <w:spacing w:after="0" w:line="256" w:lineRule="auto"/>
        <w:ind w:left="5670" w:hanging="28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7082" w:rsidRPr="003859B2" w:rsidRDefault="002F7082">
      <w:pPr>
        <w:spacing w:after="0" w:line="256" w:lineRule="auto"/>
        <w:ind w:left="5670"/>
        <w:rPr>
          <w:rFonts w:ascii="Times New Roman" w:eastAsia="Times New Roman" w:hAnsi="Times New Roman" w:cs="Times New Roman"/>
          <w:lang w:val="ru-RU"/>
        </w:rPr>
      </w:pPr>
    </w:p>
    <w:p w:rsidR="002F7082" w:rsidRPr="003859B2" w:rsidRDefault="00F7603F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2F7082" w:rsidRPr="003859B2" w:rsidRDefault="00F7603F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використання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субвенції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з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бюджету державному бюджету на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програм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соціально</w:t>
      </w:r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-</w:t>
      </w:r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економічного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регіонів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gram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межах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фінансування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заходів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Програми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протидії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злочинності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профілактики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правопорушень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забезпечення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громадського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порядку і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безпеки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території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громади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</w:t>
      </w:r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2022-2024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рр</w:t>
      </w:r>
      <w:proofErr w:type="spellEnd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» у </w:t>
      </w:r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 xml:space="preserve">2022 </w:t>
      </w:r>
      <w:proofErr w:type="spellStart"/>
      <w:r w:rsidRPr="003859B2">
        <w:rPr>
          <w:rFonts w:ascii="Times New Roman" w:hAnsi="Times New Roman"/>
          <w:b/>
          <w:bCs/>
          <w:sz w:val="28"/>
          <w:szCs w:val="28"/>
          <w:lang w:val="ru-RU"/>
        </w:rPr>
        <w:t>році</w:t>
      </w:r>
      <w:proofErr w:type="spellEnd"/>
    </w:p>
    <w:p w:rsidR="002F7082" w:rsidRPr="003859B2" w:rsidRDefault="002F7082">
      <w:pPr>
        <w:pStyle w:val="a6"/>
        <w:spacing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7082" w:rsidRPr="003859B2" w:rsidRDefault="00F7603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визначає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механізм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бюджету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реалізацію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протидії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злочинності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>ілактики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правопорушень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порядку і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2022-2024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>.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859B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далі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затвердженої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рішенням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</w:t>
      </w:r>
      <w:r w:rsidRPr="003859B2">
        <w:rPr>
          <w:rFonts w:ascii="Times New Roman" w:hAnsi="Times New Roman"/>
          <w:sz w:val="28"/>
          <w:szCs w:val="28"/>
          <w:lang w:val="ru-RU"/>
        </w:rPr>
        <w:t>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14.03.2022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159/0/6-22,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видатки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яку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передбачено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>ішенням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17.12.2021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року №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556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«Про бюджет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2022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859B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бю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джету державному бюджету на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соціально</w:t>
      </w:r>
      <w:r w:rsidRPr="003859B2">
        <w:rPr>
          <w:rFonts w:ascii="Times New Roman" w:hAnsi="Times New Roman"/>
          <w:sz w:val="28"/>
          <w:szCs w:val="28"/>
          <w:lang w:val="ru-RU"/>
        </w:rPr>
        <w:t>-</w:t>
      </w:r>
      <w:r w:rsidRPr="003859B2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регіонів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далі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>).</w:t>
      </w:r>
    </w:p>
    <w:p w:rsidR="002F7082" w:rsidRPr="003859B2" w:rsidRDefault="00F7603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Головним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розпорядником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>.</w:t>
      </w:r>
    </w:p>
    <w:p w:rsidR="002F7082" w:rsidRPr="003859B2" w:rsidRDefault="00F7603F">
      <w:pPr>
        <w:pStyle w:val="a6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>3.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розпорядник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передає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бюд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жету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асигнувань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виконавцю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відповідних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визначеному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Програмою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F7082" w:rsidRPr="003859B2" w:rsidRDefault="00F7603F">
      <w:pPr>
        <w:pStyle w:val="a6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</w:t>
      </w:r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убвенція</w:t>
      </w:r>
      <w:proofErr w:type="spellEnd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спрямовується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фінансування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виконавця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Закупівля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товарів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установленому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законо</w:t>
      </w:r>
      <w:r>
        <w:rPr>
          <w:rFonts w:ascii="Times New Roman" w:hAnsi="Times New Roman"/>
          <w:sz w:val="28"/>
          <w:szCs w:val="28"/>
          <w:lang w:val="ru-RU"/>
        </w:rPr>
        <w:t>давством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порядку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F7082" w:rsidRPr="003859B2" w:rsidRDefault="00F7603F">
      <w:pPr>
        <w:pStyle w:val="a6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>5.</w:t>
      </w:r>
      <w:r w:rsidRPr="003859B2">
        <w:rPr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бюджету державному бюджету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враховується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дохідній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видатковій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частині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отримувача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відповідними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кодами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класифі</w:t>
      </w:r>
      <w:r w:rsidRPr="003859B2">
        <w:rPr>
          <w:rFonts w:ascii="Times New Roman" w:hAnsi="Times New Roman"/>
          <w:sz w:val="28"/>
          <w:szCs w:val="28"/>
          <w:lang w:val="ru-RU"/>
        </w:rPr>
        <w:t>кації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доходів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обсягах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затверджених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установленому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F7082" w:rsidRDefault="00F7603F">
      <w:pPr>
        <w:pStyle w:val="a7"/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ідставою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бюджету </w:t>
      </w:r>
      <w:proofErr w:type="spellStart"/>
      <w:r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убвенція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державному бюджету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соціально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розвитку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регіонів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злочинності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і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Pr="003859B2">
        <w:rPr>
          <w:rFonts w:ascii="Times New Roman" w:hAnsi="Times New Roman"/>
          <w:sz w:val="28"/>
          <w:szCs w:val="28"/>
        </w:rPr>
        <w:t xml:space="preserve">2022-2024 </w:t>
      </w:r>
      <w:proofErr w:type="spellStart"/>
      <w:r>
        <w:rPr>
          <w:rFonts w:ascii="Times New Roman" w:hAnsi="Times New Roman"/>
          <w:sz w:val="28"/>
          <w:szCs w:val="28"/>
        </w:rPr>
        <w:t>рр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укладені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Новомосковською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громадою 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відповідним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отримувачем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коштів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F7082" w:rsidRDefault="00F7603F">
      <w:pPr>
        <w:pStyle w:val="a7"/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залишок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F7082" w:rsidRDefault="00F7603F">
      <w:pPr>
        <w:pStyle w:val="a7"/>
        <w:shd w:val="clear" w:color="auto" w:fill="FFFFFF"/>
        <w:spacing w:after="0" w:line="264" w:lineRule="auto"/>
        <w:ind w:firstLine="56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Отримувач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числа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кварталом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числа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роком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головному </w:t>
      </w:r>
      <w:proofErr w:type="spellStart"/>
      <w:r>
        <w:rPr>
          <w:rFonts w:ascii="Times New Roman" w:hAnsi="Times New Roman"/>
          <w:sz w:val="28"/>
          <w:szCs w:val="28"/>
        </w:rPr>
        <w:t>розпоряднику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детального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7082" w:rsidRPr="003859B2" w:rsidRDefault="00F7603F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подається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розроблення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цільових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звітування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затвердженого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859B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859B2">
        <w:rPr>
          <w:rFonts w:ascii="Times New Roman" w:hAnsi="Times New Roman"/>
          <w:sz w:val="28"/>
          <w:szCs w:val="28"/>
          <w:lang w:val="ru-RU"/>
        </w:rPr>
        <w:t>ішенням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виконав</w:t>
      </w:r>
      <w:r w:rsidRPr="003859B2">
        <w:rPr>
          <w:rFonts w:ascii="Times New Roman" w:hAnsi="Times New Roman"/>
          <w:sz w:val="28"/>
          <w:szCs w:val="28"/>
          <w:lang w:val="ru-RU"/>
        </w:rPr>
        <w:t>чого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Новомосковської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27.04.2021 </w:t>
      </w:r>
      <w:r w:rsidRPr="003859B2">
        <w:rPr>
          <w:rFonts w:ascii="Times New Roman" w:hAnsi="Times New Roman"/>
          <w:sz w:val="28"/>
          <w:szCs w:val="28"/>
          <w:lang w:val="ru-RU"/>
        </w:rPr>
        <w:t>року №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262/0/6-21. </w:t>
      </w:r>
    </w:p>
    <w:p w:rsidR="002F7082" w:rsidRPr="003859B2" w:rsidRDefault="00F7603F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59B2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призначенням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яке не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цьому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Порядку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859B2">
        <w:rPr>
          <w:rFonts w:ascii="Times New Roman" w:hAnsi="Times New Roman"/>
          <w:sz w:val="28"/>
          <w:szCs w:val="28"/>
          <w:lang w:val="ru-RU"/>
        </w:rPr>
        <w:t xml:space="preserve">є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нецільовим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тягне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за собою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відповідальність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59B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859B2">
        <w:rPr>
          <w:rFonts w:ascii="Times New Roman" w:hAnsi="Times New Roman"/>
          <w:sz w:val="28"/>
          <w:szCs w:val="28"/>
          <w:lang w:val="ru-RU"/>
        </w:rPr>
        <w:t>.</w:t>
      </w:r>
    </w:p>
    <w:p w:rsidR="002F7082" w:rsidRPr="003859B2" w:rsidRDefault="002F7082">
      <w:pPr>
        <w:pStyle w:val="8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3"/>
        </w:tabs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ru-RU"/>
        </w:rPr>
      </w:pPr>
    </w:p>
    <w:p w:rsidR="002F7082" w:rsidRPr="003859B2" w:rsidRDefault="002F7082">
      <w:pPr>
        <w:rPr>
          <w:rFonts w:ascii="Times New Roman" w:eastAsia="Times New Roman" w:hAnsi="Times New Roman" w:cs="Times New Roman"/>
          <w:lang w:val="ru-RU"/>
        </w:rPr>
      </w:pPr>
    </w:p>
    <w:p w:rsidR="002F7082" w:rsidRDefault="00F76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Керуючий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справами </w:t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Яків</w:t>
      </w:r>
      <w:proofErr w:type="spellEnd"/>
      <w:r>
        <w:rPr>
          <w:rFonts w:ascii="Times New Roman" w:hAnsi="Times New Roman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КЛИМЕНОВ</w:t>
      </w:r>
    </w:p>
    <w:p w:rsidR="002F7082" w:rsidRDefault="002F7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</w:p>
    <w:sectPr w:rsidR="002F7082">
      <w:headerReference w:type="default" r:id="rId8"/>
      <w:footerReference w:type="default" r:id="rId9"/>
      <w:pgSz w:w="12240" w:h="15840"/>
      <w:pgMar w:top="851" w:right="61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F" w:rsidRDefault="00F7603F">
      <w:pPr>
        <w:spacing w:after="0" w:line="240" w:lineRule="auto"/>
      </w:pPr>
      <w:r>
        <w:separator/>
      </w:r>
    </w:p>
  </w:endnote>
  <w:endnote w:type="continuationSeparator" w:id="0">
    <w:p w:rsidR="00F7603F" w:rsidRDefault="00F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82" w:rsidRDefault="002F708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F" w:rsidRDefault="00F7603F">
      <w:pPr>
        <w:spacing w:after="0" w:line="240" w:lineRule="auto"/>
      </w:pPr>
      <w:r>
        <w:separator/>
      </w:r>
    </w:p>
  </w:footnote>
  <w:footnote w:type="continuationSeparator" w:id="0">
    <w:p w:rsidR="00F7603F" w:rsidRDefault="00F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82" w:rsidRDefault="00F7603F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BEA"/>
    <w:multiLevelType w:val="hybridMultilevel"/>
    <w:tmpl w:val="04F8171E"/>
    <w:styleLink w:val="a"/>
    <w:lvl w:ilvl="0" w:tplc="619402D2">
      <w:start w:val="1"/>
      <w:numFmt w:val="decimal"/>
      <w:suff w:val="nothing"/>
      <w:lvlText w:val="%1."/>
      <w:lvlJc w:val="left"/>
      <w:pPr>
        <w:tabs>
          <w:tab w:val="left" w:pos="861"/>
        </w:tabs>
        <w:ind w:left="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C7FF6">
      <w:start w:val="1"/>
      <w:numFmt w:val="decimal"/>
      <w:lvlText w:val="%2."/>
      <w:lvlJc w:val="left"/>
      <w:pPr>
        <w:tabs>
          <w:tab w:val="left" w:pos="861"/>
          <w:tab w:val="num" w:pos="1367"/>
        </w:tabs>
        <w:ind w:left="8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CD9C4">
      <w:start w:val="1"/>
      <w:numFmt w:val="decimal"/>
      <w:lvlText w:val="%3."/>
      <w:lvlJc w:val="left"/>
      <w:pPr>
        <w:tabs>
          <w:tab w:val="left" w:pos="861"/>
          <w:tab w:val="num" w:pos="2167"/>
        </w:tabs>
        <w:ind w:left="16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2F522">
      <w:start w:val="1"/>
      <w:numFmt w:val="decimal"/>
      <w:lvlText w:val="%4."/>
      <w:lvlJc w:val="left"/>
      <w:pPr>
        <w:tabs>
          <w:tab w:val="left" w:pos="861"/>
          <w:tab w:val="num" w:pos="2967"/>
        </w:tabs>
        <w:ind w:left="24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E0150">
      <w:start w:val="1"/>
      <w:numFmt w:val="decimal"/>
      <w:lvlText w:val="%5."/>
      <w:lvlJc w:val="left"/>
      <w:pPr>
        <w:tabs>
          <w:tab w:val="left" w:pos="861"/>
          <w:tab w:val="num" w:pos="3767"/>
        </w:tabs>
        <w:ind w:left="32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481B4">
      <w:start w:val="1"/>
      <w:numFmt w:val="decimal"/>
      <w:lvlText w:val="%6."/>
      <w:lvlJc w:val="left"/>
      <w:pPr>
        <w:tabs>
          <w:tab w:val="left" w:pos="861"/>
          <w:tab w:val="num" w:pos="4567"/>
        </w:tabs>
        <w:ind w:left="40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20224">
      <w:start w:val="1"/>
      <w:numFmt w:val="decimal"/>
      <w:lvlText w:val="%7."/>
      <w:lvlJc w:val="left"/>
      <w:pPr>
        <w:tabs>
          <w:tab w:val="left" w:pos="861"/>
          <w:tab w:val="num" w:pos="5367"/>
        </w:tabs>
        <w:ind w:left="48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EF95E">
      <w:start w:val="1"/>
      <w:numFmt w:val="decimal"/>
      <w:lvlText w:val="%8."/>
      <w:lvlJc w:val="left"/>
      <w:pPr>
        <w:tabs>
          <w:tab w:val="left" w:pos="861"/>
          <w:tab w:val="num" w:pos="6167"/>
        </w:tabs>
        <w:ind w:left="56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2B566">
      <w:start w:val="1"/>
      <w:numFmt w:val="decimal"/>
      <w:lvlText w:val="%9."/>
      <w:lvlJc w:val="left"/>
      <w:pPr>
        <w:tabs>
          <w:tab w:val="left" w:pos="861"/>
          <w:tab w:val="num" w:pos="6967"/>
        </w:tabs>
        <w:ind w:left="6400" w:firstLine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0C3438"/>
    <w:multiLevelType w:val="hybridMultilevel"/>
    <w:tmpl w:val="04F8171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082"/>
    <w:rsid w:val="002F7082"/>
    <w:rsid w:val="003859B2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8">
    <w:name w:val="heading 8"/>
    <w:next w:val="a0"/>
    <w:pPr>
      <w:keepNext/>
      <w:keepLines/>
      <w:spacing w:before="200" w:after="200" w:line="276" w:lineRule="auto"/>
      <w:outlineLvl w:val="7"/>
    </w:pPr>
    <w:rPr>
      <w:rFonts w:ascii="Calibri Light" w:eastAsia="Calibri Light" w:hAnsi="Calibri Light" w:cs="Calibri Light"/>
      <w:color w:val="5B9BD5"/>
      <w:u w:color="5B9BD5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Body Tex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8">
    <w:name w:val="heading 8"/>
    <w:next w:val="a0"/>
    <w:pPr>
      <w:keepNext/>
      <w:keepLines/>
      <w:spacing w:before="200" w:after="200" w:line="276" w:lineRule="auto"/>
      <w:outlineLvl w:val="7"/>
    </w:pPr>
    <w:rPr>
      <w:rFonts w:ascii="Calibri Light" w:eastAsia="Calibri Light" w:hAnsi="Calibri Light" w:cs="Calibri Light"/>
      <w:color w:val="5B9BD5"/>
      <w:u w:color="5B9BD5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Body Tex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2022-07-21T11:40:00Z</dcterms:created>
  <dcterms:modified xsi:type="dcterms:W3CDTF">2022-07-21T11:41:00Z</dcterms:modified>
</cp:coreProperties>
</file>