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480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caps w:val="1"/>
          <w:kern w:val="36"/>
          <w:sz w:val="24"/>
          <w:szCs w:val="24"/>
          <w:u w:color="5089a0"/>
        </w:rPr>
      </w:pPr>
      <w:r>
        <w:rPr>
          <w:rFonts w:ascii="Times New Roman" w:hAnsi="Times New Roman" w:hint="default"/>
          <w:b w:val="1"/>
          <w:bCs w:val="1"/>
          <w:caps w:val="1"/>
          <w:kern w:val="36"/>
          <w:sz w:val="24"/>
          <w:szCs w:val="24"/>
          <w:u w:color="5089a0"/>
          <w:rtl w:val="0"/>
          <w:lang w:val="ru-RU"/>
        </w:rPr>
        <w:t>ІНФОРМАЦІЯ ПРО ПРОВЕДЕННЯ КОНКУРСУ З ВІДБОРУ ВИКОНАВЦІВ ЗЕМЕЛЬНИХ ТОРГІВ З ПРОДАЖУ ЗЕМЕЛЬНИХ ДІЛЯНОК АБО ПРАВ ОРЕНДИ НА НИХ</w:t>
      </w:r>
      <w:r>
        <w:rPr>
          <w:rFonts w:ascii="Times New Roman" w:hAnsi="Times New Roman"/>
          <w:b w:val="1"/>
          <w:bCs w:val="1"/>
          <w:caps w:val="1"/>
          <w:kern w:val="36"/>
          <w:sz w:val="24"/>
          <w:szCs w:val="24"/>
          <w:u w:color="5089a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aps w:val="1"/>
          <w:kern w:val="36"/>
          <w:sz w:val="24"/>
          <w:szCs w:val="24"/>
          <w:u w:color="5089a0"/>
          <w:rtl w:val="0"/>
          <w:lang w:val="ru-RU"/>
        </w:rPr>
        <w:t xml:space="preserve">ЩО ВІДБУДЕТЬСЯ </w:t>
      </w:r>
      <w:r>
        <w:rPr>
          <w:rFonts w:ascii="Times New Roman" w:hAnsi="Times New Roman"/>
          <w:b w:val="1"/>
          <w:bCs w:val="1"/>
          <w:caps w:val="1"/>
          <w:kern w:val="36"/>
          <w:sz w:val="24"/>
          <w:szCs w:val="24"/>
          <w:u w:color="5089a0"/>
          <w:rtl w:val="0"/>
        </w:rPr>
        <w:t>14.06</w:t>
      </w:r>
      <w:r>
        <w:rPr>
          <w:rFonts w:ascii="Times New Roman" w:hAnsi="Times New Roman"/>
          <w:b w:val="1"/>
          <w:bCs w:val="1"/>
          <w:caps w:val="1"/>
          <w:kern w:val="36"/>
          <w:sz w:val="24"/>
          <w:szCs w:val="24"/>
          <w:u w:color="5089a0"/>
          <w:rtl w:val="0"/>
          <w:lang w:val="ru-RU"/>
        </w:rPr>
        <w:t>.2021</w:t>
      </w:r>
    </w:p>
    <w:p>
      <w:pPr>
        <w:pStyle w:val="Обычный"/>
        <w:spacing w:after="15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Інформація</w:t>
        <w:br w:type="textWrapping"/>
        <w:t>про проведення конкурсу з відбору виконавців земельних торгів з продажу земельних ділянок або прав оренди на них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Мета проведення робіт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підготовка лотів до продажу та проведення земельних торгів з продажу земельних ділянок комунальної власності або прав оренди на них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Дані про земельні ділянки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</w:p>
    <w:tbl>
      <w:tblPr>
        <w:tblW w:w="95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5"/>
        <w:gridCol w:w="2485"/>
        <w:gridCol w:w="1622"/>
        <w:gridCol w:w="4873"/>
      </w:tblGrid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Розташування земельної ділянки</w:t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Новомосковськ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Орієнтовна площа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Запланований вид використання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Гетьманська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41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0,025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Гетьманська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42-44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і обслуговування багатоквартирного житлового будинку з об’єктами ринкової інфраструктури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Сучкова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29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</w:tabs>
              <w:suppressAutoHyphens w:val="0"/>
              <w:spacing w:before="0" w:after="0" w:line="240" w:lineRule="auto"/>
              <w:jc w:val="both"/>
              <w:outlineLvl w:val="9"/>
            </w:pP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0,007 </w:t>
            </w:r>
            <w:r>
              <w:rPr>
                <w:position w:val="0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Сучкова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33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</w:tabs>
              <w:suppressAutoHyphens w:val="0"/>
              <w:spacing w:before="0" w:after="0" w:line="240" w:lineRule="auto"/>
              <w:jc w:val="both"/>
              <w:outlineLvl w:val="9"/>
            </w:pP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0,059 </w:t>
            </w:r>
            <w:r>
              <w:rPr>
                <w:position w:val="0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Сучкова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35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</w:tabs>
              <w:suppressAutoHyphens w:val="0"/>
              <w:spacing w:before="0" w:after="0" w:line="240" w:lineRule="auto"/>
              <w:jc w:val="both"/>
              <w:outlineLvl w:val="9"/>
            </w:pP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0,2 </w:t>
            </w: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га 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Перемоги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22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0,102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Перемоги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32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</w:tabs>
              <w:suppressAutoHyphens w:val="0"/>
              <w:spacing w:before="0" w:after="0" w:line="240" w:lineRule="auto"/>
              <w:jc w:val="both"/>
              <w:outlineLvl w:val="9"/>
            </w:pP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0,02 </w:t>
            </w:r>
            <w:r>
              <w:rPr>
                <w:position w:val="0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Перемоги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34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</w:tabs>
              <w:suppressAutoHyphens w:val="0"/>
              <w:spacing w:before="0" w:after="0" w:line="240" w:lineRule="auto"/>
              <w:jc w:val="both"/>
              <w:outlineLvl w:val="9"/>
            </w:pP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0,05 </w:t>
            </w:r>
            <w:r>
              <w:rPr>
                <w:position w:val="0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Перемоги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36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</w:tabs>
              <w:suppressAutoHyphens w:val="0"/>
              <w:spacing w:before="0" w:after="0" w:line="240" w:lineRule="auto"/>
              <w:jc w:val="both"/>
              <w:outlineLvl w:val="9"/>
            </w:pP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0,05 </w:t>
            </w:r>
            <w:r>
              <w:rPr>
                <w:position w:val="0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Перемоги в районі 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Микити Головка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</w:tabs>
              <w:suppressAutoHyphens w:val="0"/>
              <w:spacing w:before="0" w:after="0" w:line="240" w:lineRule="auto"/>
              <w:jc w:val="both"/>
              <w:outlineLvl w:val="9"/>
            </w:pPr>
            <w:r>
              <w:rPr>
                <w:position w:val="0"/>
                <w:shd w:val="nil" w:color="auto" w:fill="auto"/>
                <w:rtl w:val="0"/>
                <w:lang w:val="ru-RU"/>
              </w:rPr>
              <w:t xml:space="preserve">0,09 </w:t>
            </w:r>
            <w:r>
              <w:rPr>
                <w:position w:val="0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Перемоги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3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Перемоги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5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0,04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будівель торгівлі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24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Дорожня в районі буд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66</w:t>
            </w:r>
          </w:p>
        </w:tc>
        <w:tc>
          <w:tcPr>
            <w:tcW w:type="dxa" w:w="16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га</w:t>
            </w:r>
          </w:p>
        </w:tc>
        <w:tc>
          <w:tcPr>
            <w:tcW w:type="dxa" w:w="48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для будівництва та обслуговування багатоквартирного житлового будинку</w:t>
            </w:r>
          </w:p>
        </w:tc>
      </w:tr>
    </w:tbl>
    <w:p>
      <w:pPr>
        <w:pStyle w:val="Обычный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Умови конкурсу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Під час обрання переможця із числа учасників конкурсу з відбору виконавців земельних торгів враховується загальна оцінка балів конкурсної пропозиції кожного з учасників за критеріями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зазначеними у пунктах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5.3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та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5.4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Регламенту роботи комісії з питань конкурсного відбору виконавців робіт із землеустрою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оцінки земель та визначення виконавця земельних торгів на конкурентних засадах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затвердженого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 xml:space="preserve">Рішенням Новомосковської міської ради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від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березня </w:t>
      </w:r>
      <w:r>
        <w:rPr>
          <w:rFonts w:ascii="Times New Roman" w:hAnsi="Times New Roman"/>
          <w:sz w:val="24"/>
          <w:szCs w:val="24"/>
          <w:rtl w:val="0"/>
          <w:lang w:val="ru-RU"/>
        </w:rPr>
        <w:t>2021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168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далі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Регламент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Витрати на підготовку лотів до продажу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організацію і проведення земельних торгів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тому числі виплата винагороди Виконавцю земельних торгів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здійснюватимуться без витрачання бюджетних коштів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Переможець повинен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: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забезпечити фінансування підготовки лотів та забезпечити підготовку лотів до продажу на земельних торгах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покупцем лотів у відповідності до пункту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статті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136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Земельного кодексу України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Підготовка лотів до продажу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яку забезпечує Виконавець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включає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: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розробку проектів землеустрою щодо відведення земельної ділянки або технічної документації із землеустрою щодо встановлення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відновлення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меж земельної ділянки в натурі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на місцевості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та їх погодження у встановленому порядку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вид документації визначено у рішенн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і Новомосковської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 міської ради від </w:t>
      </w:r>
      <w:r>
        <w:rPr>
          <w:rFonts w:ascii="Times New Roman" w:hAnsi="Times New Roman"/>
          <w:sz w:val="24"/>
          <w:szCs w:val="24"/>
          <w:u w:color="666666"/>
          <w:rtl w:val="0"/>
        </w:rPr>
        <w:t xml:space="preserve">30.04.2021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u w:color="666666"/>
          <w:rtl w:val="0"/>
        </w:rPr>
        <w:t>325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проведення експертної грошової оцінки земельних ділянок з виготовленням звітів 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разі продажу земельних ділянок у власність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забезпечити наявність належного оснащення для проведення торгів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демонстрації та продажу лотів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розмістити на офіційному веб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сайті центрального органу виконавчої влади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що забезпечує реалізацію державної політики у сфері земельних відносин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відеозапис торгів і повідомлення про результати торгів за кожним лотом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Претендент на участь у конкурсі має право залучити підрядні організації за відповідною цивільно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правовою угодою для виконання робіт із землеустрою та оцінки земель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копії укладених угод необхідно додати до конкурсної документації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Підрядні організації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що залучаються до надання послуг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повинні володіти необхідними технічним і технологічним забезпеченням та у складі яких повинні працювати за основним місцем роботи не менше двох сертифікованих інженерів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землевпорядників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які є відповідальними за якість робіт із землеустрою та надати послуги по виконанню робіт із землеустрою та проведенню експертної грошової оцінки земельних ділянок з урахуванням відповідних законодавчих та нормативних вимог до таких робіт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Документація із землеустрою розробляється землевпорядною організацією відповідно до вимог земельного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містобудівного законодавства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Переможець конкурсного відбору несе відповідальність перед Організатором земельних торгів за невиконання зобов’язань третіми особами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координує надання послуг третіх осіб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створює умови та здійснює контроль за виконанням договірних зобов’язань між ними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При розміщенні оголошення про проведення торгів на офіційному веб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сайті центрального органу виконавчої влади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що забезпечує реалізацію державної політики у сфері земельних відносин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воно має містити фотографічні зображення земельних ділянок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скан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копії документів та матеріалів на лоти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Конкурсна документація подається в запечатаному конверті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окремо по кожній земельній ділянці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на якому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крім поштових реквізитів робиться відмітка 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«На конкурс з відбору виконавців послуг з виконання земельних торгів»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із зазначенням земельних ділянок та дати проведення конкурсу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конверті мають міститися підтвердні документи з їх описом та окремий запечатаний конверт з конкурсною пропозицією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Конкурсна пропозиція претендентів подається в запечатаному конверті і має містити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окремо по кожній земельній ділянці та окремо по кожному виду робіт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пропозицію про вартість виконання робіт з урахуванням податку на додану вартість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калькуляцію витрат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пов’язаних з виконанням робіт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строк виконання робіт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календарних днях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інформацію щодо кількості розроблених проектів землеустрою щодо відведення земельних ділянок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технічних документацій землеустрою щодо встановлення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відновлення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меж земельних ділянок в натурі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на місцевості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та кількості звітів з експертної грошової оцінки земельних ділянок за попередні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місяці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інформацію про кількість проданих лотів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ціну їх продажу порівняно зі стартовою ціною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разі проведення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за попередні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місяці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а також згоду на фінансування підготовки лоту до продажу та проведення земельних торгів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Прийняття заяв припиняється за 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п’ять робочих днів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до дати проведення конкурсу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разі неповноти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невідповідності наданих підтвердних документів або несвоєчасності їх подання претендент до участі у конкурсі не допускається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Перелік підтвердних документів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які подаються на конкурс з відбору виконавців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:*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заява про участь у конкурсі з відбору виконавця послуг з виконання земельних торгів за формою згідно з додатком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1;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копія документа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що засвідчує реєстрацію фізичних осіб у Державному реєстрі фізичних осіб платників податків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або копія сторінок паспорта для осіб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для претендента – фізичної особи – підприємця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копії установчих документів претендента та виписки з Єдиного державного реєстру юридичних осіб та фізичних осіб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підприємців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для претендента – юридичної особи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копія витягу з Державного реєстру платників податку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єдиного податку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згода на обробку персональних даних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для претендента – фізичної особи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підприємця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згідно Закону України «Про захист персональних даних»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копії кваліфікаційних документів ліцитаторів претендента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яких буде залучено до проведення земельних торгів та підписання протоколу земельних торгів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за наявності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довідка у довільній формі про наявність необхідного для розроблення документації із землеустрою технічного і технологічного забезпечення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копії кваліфікаційних сертифікатів інженерів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землевпорядників претендента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яких буде залучено до розробки документації із землеустрою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копія сертифіката суб’єкта оціночної діяльності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    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копії кваліфікаційних документів оцінювачів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та підвищення кваліфікації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 експертної грошової оцінки земельних ділянок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яких буде залучено до виконання робіт з оцінки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проект завдання на виконання послуг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якому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зокрема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має бути зазначено вид документації із землеустрою або з оцінки земель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яку пропонує розробити претендент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перелік вихідних даних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які має надати Організатор земельних торгів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та перелік документів і матеріалів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які будуть представлені за результатами виконаних робіт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а саме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: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документація із землеустрою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погоджена у встановленому чинним законодавством порядку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(1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примірник – оригінал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; 3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примірники – завірені копії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документація із землеустрою в електронному вигляді на електронному носії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із зазначенням виду електронного носія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план земельної ділянки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кадастровий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примірниках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зобов’язання учасника щодо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: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оформлення результатів геодезичних робіт з використанням місцевої системи координат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(Local)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та системи координат УСК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-2000 (USC2000) 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державної геодезичної референтної системи координат УСК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-2000;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організації та проведення робіт щодо здійснення дій по підписанню акту встановлення та узгодження меж з суміжними користувачами без залучення Організатора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погодження проекту землеустрою у встановленому чинним законодавством порядку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проходження державної експертизи землевпорядної документації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у добровільній формі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у разі необхідності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та надання Організатору позитивного висновку цієї експертизи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;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ґ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здійснення рецензування звіту про експертну грошову оцінку земельної ділянки та надання Організатору позитивної рецензії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*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Всі документи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за винятком оригіналів та нотаріально завірених копій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виданих іншими установами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повинні бути завірені в установленому порядку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Строк подання конкурсної документації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 до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16.00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год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666666"/>
          <w:rtl w:val="0"/>
        </w:rPr>
        <w:t>0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7.0</w:t>
      </w:r>
      <w:r>
        <w:rPr>
          <w:rFonts w:ascii="Times New Roman" w:hAnsi="Times New Roman"/>
          <w:sz w:val="24"/>
          <w:szCs w:val="24"/>
          <w:u w:color="666666"/>
          <w:rtl w:val="0"/>
        </w:rPr>
        <w:t>6.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року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включно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Адреса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за якою подаються документи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666666"/>
          <w:rtl w:val="0"/>
        </w:rPr>
        <w:t>51200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Новомосковськ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вул</w:t>
      </w:r>
      <w:r>
        <w:rPr>
          <w:rFonts w:ascii="Times New Roman" w:hAnsi="Times New Roman"/>
          <w:sz w:val="24"/>
          <w:szCs w:val="24"/>
          <w:u w:color="666666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Гетьманська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666666"/>
          <w:rtl w:val="0"/>
        </w:rPr>
        <w:t>14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каб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666666"/>
          <w:rtl w:val="0"/>
        </w:rPr>
        <w:t>1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у період заходів щодо запобігання поширенню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– для отримання додаткової інформації телефонуйте за номером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666666"/>
          <w:rtl w:val="0"/>
        </w:rPr>
        <w:t>098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u w:color="666666"/>
          <w:rtl w:val="0"/>
        </w:rPr>
        <w:t>319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u w:color="666666"/>
          <w:rtl w:val="0"/>
        </w:rPr>
        <w:t>54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u w:color="666666"/>
          <w:rtl w:val="0"/>
        </w:rPr>
        <w:t>97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прийом конкурсної документації у паперовому вигляді здійснюється у чарунку на першому поверсі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Новомосковської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 міської ради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вул</w:t>
      </w:r>
      <w:r>
        <w:rPr>
          <w:rFonts w:ascii="Times New Roman" w:hAnsi="Times New Roman"/>
          <w:sz w:val="24"/>
          <w:szCs w:val="24"/>
          <w:u w:color="666666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Гетьманська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666666"/>
          <w:rtl w:val="0"/>
        </w:rPr>
        <w:t>14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Інформація про проведення конкурсу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конкурс відбудеться 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</w:rPr>
        <w:t>14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.0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</w:rPr>
        <w:t>6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.2021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 xml:space="preserve">року об 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год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. 30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хв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в приміщенні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Новомосковської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 міської ради за адресою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color="666666"/>
          <w:rtl w:val="0"/>
        </w:rPr>
        <w:t>51200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Новомосковськ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вул</w:t>
      </w:r>
      <w:r>
        <w:rPr>
          <w:rFonts w:ascii="Times New Roman" w:hAnsi="Times New Roman"/>
          <w:sz w:val="24"/>
          <w:szCs w:val="24"/>
          <w:u w:color="666666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Гетьманська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666666"/>
          <w:rtl w:val="0"/>
        </w:rPr>
        <w:t>14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Відомості про місцезнаходження комісії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контактні телефони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666666"/>
          <w:rtl w:val="0"/>
        </w:rPr>
        <w:t>51200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Новомосковськ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вул</w:t>
      </w:r>
      <w:r>
        <w:rPr>
          <w:rFonts w:ascii="Times New Roman" w:hAnsi="Times New Roman"/>
          <w:sz w:val="24"/>
          <w:szCs w:val="24"/>
          <w:u w:color="666666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666666"/>
          <w:rtl w:val="0"/>
        </w:rPr>
        <w:t>Гетьманська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u w:color="666666"/>
          <w:rtl w:val="0"/>
        </w:rPr>
        <w:t>14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телефон для довідок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: (</w:t>
      </w:r>
      <w:r>
        <w:rPr>
          <w:rFonts w:ascii="Times New Roman" w:hAnsi="Times New Roman"/>
          <w:sz w:val="24"/>
          <w:szCs w:val="24"/>
          <w:u w:color="666666"/>
          <w:rtl w:val="0"/>
        </w:rPr>
        <w:t>098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u w:color="666666"/>
          <w:rtl w:val="0"/>
        </w:rPr>
        <w:t>319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u w:color="666666"/>
          <w:rtl w:val="0"/>
        </w:rPr>
        <w:t>54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u w:color="666666"/>
          <w:rtl w:val="0"/>
        </w:rPr>
        <w:t>97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                                                                                                  Додаток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1</w:t>
      </w:r>
    </w:p>
    <w:p>
      <w:pPr>
        <w:pStyle w:val="Обычный"/>
        <w:spacing w:after="150" w:line="240" w:lineRule="auto"/>
        <w:ind w:left="1268" w:firstLine="0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                                                                         до Регламенту роботи комісії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                                                                                                 з питань конкурсного відбору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                                                                                                 виконавців робіт із землеустрою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,</w:t>
      </w:r>
    </w:p>
    <w:p>
      <w:pPr>
        <w:pStyle w:val="Обычный"/>
        <w:spacing w:after="150" w:line="240" w:lineRule="auto"/>
        <w:ind w:left="5747" w:firstLine="0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оцінки земель та визначення виконавця земельних торгів</w:t>
      </w:r>
    </w:p>
    <w:p>
      <w:pPr>
        <w:pStyle w:val="Обычный"/>
        <w:spacing w:after="150" w:line="240" w:lineRule="auto"/>
        <w:ind w:left="5747" w:firstLine="0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на конкурентних засадах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                                                                                                 До Конкурсної комісії</w:t>
        <w:br w:type="textWrapping"/>
        <w:t>                                                                                       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_________________________________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                             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місцезнаходження комісії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</w:p>
    <w:p>
      <w:pPr>
        <w:pStyle w:val="Обычный"/>
        <w:spacing w:after="15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ЗАЯВА</w:t>
        <w:br w:type="textWrapping"/>
        <w:t>про участь у конкурсі з відбору виконавців послуг з виконання</w:t>
        <w:br w:type="textWrapping"/>
        <w:t>робіт із землеустрою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оцінки земель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виконавця земельних торгів</w:t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непотрібне закреслити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Претендент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  <w:u w:color="666666"/>
        </w:rPr>
        <w:br w:type="textWrapping"/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найменування юридичної особи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прізвище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ім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'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я та по батькові фізичної особи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підприємця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Керівник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_____________________________________________________________________</w:t>
      </w:r>
    </w:p>
    <w:p>
      <w:pPr>
        <w:pStyle w:val="Обычный"/>
        <w:spacing w:after="15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прізвище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ім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'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 та по батькові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посада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Ідентифікаційний код згідно з ЄДРПОУ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реєстраційний номер облікової картки платника податків або серія та номер паспорта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для фізичних осіб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_____________________________________________________________________________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Місцезнаходження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_____________________________________________________________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Телефон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__________________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./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факс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___________________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-mail _________________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 </w:t>
      </w:r>
    </w:p>
    <w:p>
      <w:pPr>
        <w:pStyle w:val="Обычный"/>
        <w:spacing w:after="15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Прошу допустити до участі в конкурсі щодо відбору виконавця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: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  <w:u w:color="666666"/>
        </w:rPr>
        <w:br w:type="textWrapping"/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вказати вид послуг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з виконання робіт із землеустрою та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або оцінки земель та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або виконавця земельних торгів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after="15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_____________________________________________________________________________</w:t>
      </w:r>
    </w:p>
    <w:p>
      <w:pPr>
        <w:pStyle w:val="Обычный"/>
        <w:spacing w:after="15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вказати земельну ділянку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її місце розташування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орієнтовний розмір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цільове призначення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666666"/>
          <w:rtl w:val="0"/>
          <w:lang w:val="ru-RU"/>
        </w:rPr>
        <w:t>тощо</w:t>
      </w:r>
      <w:r>
        <w:rPr>
          <w:rFonts w:ascii="Times New Roman" w:hAnsi="Times New Roman"/>
          <w:b w:val="1"/>
          <w:bCs w:val="1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“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”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____________ 20___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року                                       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____________________________</w:t>
      </w:r>
      <w:r>
        <w:rPr>
          <w:rFonts w:ascii="Times New Roman" w:cs="Times New Roman" w:hAnsi="Times New Roman" w:eastAsia="Times New Roman"/>
          <w:sz w:val="24"/>
          <w:szCs w:val="24"/>
          <w:u w:color="666666"/>
        </w:rPr>
        <w:br w:type="textWrapping"/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дата заповнення заяви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                     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підпис керівника юридичної особи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 xml:space="preserve">фізичної особи 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підприємця</w:t>
      </w:r>
      <w:r>
        <w:rPr>
          <w:rFonts w:ascii="Times New Roman" w:hAnsi="Times New Roman"/>
          <w:sz w:val="24"/>
          <w:szCs w:val="24"/>
          <w:u w:color="666666"/>
          <w:rtl w:val="0"/>
          <w:lang w:val="ru-RU"/>
        </w:rPr>
        <w:t>)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  <w:u w:color="666666"/>
        </w:rPr>
      </w:pPr>
      <w:r>
        <w:rPr>
          <w:rFonts w:ascii="Times New Roman" w:hAnsi="Times New Roman" w:hint="default"/>
          <w:sz w:val="24"/>
          <w:szCs w:val="24"/>
          <w:u w:color="666666"/>
          <w:rtl w:val="0"/>
          <w:lang w:val="ru-RU"/>
        </w:rPr>
        <w:t>М П</w:t>
      </w:r>
    </w:p>
    <w:p>
      <w:pPr>
        <w:pStyle w:val="Обычный"/>
        <w:spacing w:after="0" w:line="240" w:lineRule="auto"/>
        <w:jc w:val="right"/>
      </w:pPr>
      <w:r>
        <w:rPr>
          <w:rFonts w:ascii="Times New Roman" w:hAnsi="Times New Roman" w:hint="default"/>
          <w:i w:val="1"/>
          <w:iCs w:val="1"/>
          <w:sz w:val="24"/>
          <w:szCs w:val="24"/>
          <w:u w:color="666666"/>
          <w:rtl w:val="0"/>
          <w:lang w:val="ru-RU"/>
        </w:rPr>
        <w:t>Опубліковано</w:t>
      </w:r>
      <w:r>
        <w:rPr>
          <w:rFonts w:ascii="Times New Roman" w:hAnsi="Times New Roman"/>
          <w:i w:val="1"/>
          <w:iCs w:val="1"/>
          <w:sz w:val="24"/>
          <w:szCs w:val="24"/>
          <w:u w:color="666666"/>
          <w:rtl w:val="0"/>
          <w:lang w:val="ru-RU"/>
        </w:rPr>
        <w:t>: 2</w:t>
      </w:r>
      <w:r>
        <w:rPr>
          <w:rFonts w:ascii="Times New Roman" w:hAnsi="Times New Roman"/>
          <w:i w:val="1"/>
          <w:iCs w:val="1"/>
          <w:sz w:val="24"/>
          <w:szCs w:val="24"/>
          <w:u w:color="666666"/>
          <w:rtl w:val="0"/>
        </w:rPr>
        <w:t>7</w:t>
      </w:r>
      <w:r>
        <w:rPr>
          <w:rFonts w:ascii="Times New Roman" w:hAnsi="Times New Roman"/>
          <w:i w:val="1"/>
          <w:iCs w:val="1"/>
          <w:sz w:val="24"/>
          <w:szCs w:val="24"/>
          <w:u w:color="666666"/>
          <w:rtl w:val="0"/>
          <w:lang w:val="ru-RU"/>
        </w:rPr>
        <w:t>.0</w:t>
      </w:r>
      <w:r>
        <w:rPr>
          <w:rFonts w:ascii="Times New Roman" w:hAnsi="Times New Roman"/>
          <w:i w:val="1"/>
          <w:iCs w:val="1"/>
          <w:sz w:val="24"/>
          <w:szCs w:val="24"/>
          <w:u w:color="666666"/>
          <w:rtl w:val="0"/>
        </w:rPr>
        <w:t>5</w:t>
      </w:r>
      <w:r>
        <w:rPr>
          <w:rFonts w:ascii="Times New Roman" w:hAnsi="Times New Roman"/>
          <w:i w:val="1"/>
          <w:iCs w:val="1"/>
          <w:sz w:val="24"/>
          <w:szCs w:val="24"/>
          <w:u w:color="666666"/>
          <w:rtl w:val="0"/>
          <w:lang w:val="ru-RU"/>
        </w:rPr>
        <w:t xml:space="preserve">.2021 </w:t>
      </w:r>
      <w:r>
        <w:rPr>
          <w:rFonts w:ascii="Times New Roman" w:hAnsi="Times New Roman"/>
          <w:i w:val="1"/>
          <w:iCs w:val="1"/>
          <w:sz w:val="24"/>
          <w:szCs w:val="24"/>
          <w:u w:color="666666"/>
          <w:rtl w:val="0"/>
        </w:rPr>
        <w:t>__:__</w:t>
      </w:r>
      <w:r>
        <w:rPr>
          <w:rFonts w:ascii="Times New Roman" w:cs="Times New Roman" w:hAnsi="Times New Roman" w:eastAsia="Times New Roman"/>
          <w:sz w:val="24"/>
          <w:szCs w:val="24"/>
          <w:u w:color="66666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1">
    <w:name w:val="Обычный (веб)1"/>
    <w:next w:val="Обычный (веб)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4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